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5CFB9" w14:textId="4B3D16A3" w:rsidR="00A4537B" w:rsidRDefault="00A4537B" w:rsidP="00A4537B">
      <w:pPr>
        <w:jc w:val="center"/>
      </w:pPr>
      <w:r>
        <w:rPr>
          <w:noProof/>
        </w:rPr>
        <w:drawing>
          <wp:inline distT="0" distB="0" distL="0" distR="0" wp14:anchorId="019A3BEB" wp14:editId="3B6F6B92">
            <wp:extent cx="2824653" cy="830933"/>
            <wp:effectExtent l="0" t="0" r="0" b="0"/>
            <wp:docPr id="14" name="Picture 13" descr="Logo&#10;&#10;Description automatically generated">
              <a:extLst xmlns:a="http://schemas.openxmlformats.org/drawingml/2006/main">
                <a:ext uri="{FF2B5EF4-FFF2-40B4-BE49-F238E27FC236}">
                  <a16:creationId xmlns:a16="http://schemas.microsoft.com/office/drawing/2014/main" id="{1F54A031-00F5-0744-9D8C-1E387199FD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Logo&#10;&#10;Description automatically generated">
                      <a:extLst>
                        <a:ext uri="{FF2B5EF4-FFF2-40B4-BE49-F238E27FC236}">
                          <a16:creationId xmlns:a16="http://schemas.microsoft.com/office/drawing/2014/main" id="{1F54A031-00F5-0744-9D8C-1E387199FD9F}"/>
                        </a:ext>
                      </a:extLst>
                    </pic:cNvPr>
                    <pic:cNvPicPr>
                      <a:picLocks noChangeAspect="1"/>
                    </pic:cNvPicPr>
                  </pic:nvPicPr>
                  <pic:blipFill>
                    <a:blip r:embed="rId6"/>
                    <a:stretch>
                      <a:fillRect/>
                    </a:stretch>
                  </pic:blipFill>
                  <pic:spPr>
                    <a:xfrm>
                      <a:off x="0" y="0"/>
                      <a:ext cx="2847003" cy="837508"/>
                    </a:xfrm>
                    <a:prstGeom prst="rect">
                      <a:avLst/>
                    </a:prstGeom>
                  </pic:spPr>
                </pic:pic>
              </a:graphicData>
            </a:graphic>
          </wp:inline>
        </w:drawing>
      </w:r>
    </w:p>
    <w:p w14:paraId="519B48AB" w14:textId="77777777" w:rsidR="00A4537B" w:rsidRDefault="00A4537B" w:rsidP="00A4537B">
      <w:pPr>
        <w:ind w:left="-1350" w:right="-1260"/>
        <w:jc w:val="center"/>
      </w:pPr>
    </w:p>
    <w:p w14:paraId="1E549F1C" w14:textId="1FC8EEB7" w:rsidR="00A4537B" w:rsidRPr="00A4537B" w:rsidRDefault="00A4537B" w:rsidP="00A4537B">
      <w:pPr>
        <w:ind w:left="-1350" w:right="-1260"/>
        <w:jc w:val="center"/>
        <w:rPr>
          <w:sz w:val="40"/>
          <w:szCs w:val="40"/>
        </w:rPr>
      </w:pPr>
      <w:r w:rsidRPr="00A4537B">
        <w:rPr>
          <w:sz w:val="40"/>
          <w:szCs w:val="40"/>
        </w:rPr>
        <w:t>PERFORMANCE AND QUALITY IMPROVEMENT REPORT</w:t>
      </w:r>
    </w:p>
    <w:p w14:paraId="7A7AAD2E" w14:textId="6DD15D6B" w:rsidR="00A4537B" w:rsidRPr="00A4537B" w:rsidRDefault="007D5E02" w:rsidP="00A4537B">
      <w:pPr>
        <w:ind w:left="-1350" w:right="-1260"/>
        <w:jc w:val="center"/>
        <w:rPr>
          <w:sz w:val="40"/>
          <w:szCs w:val="40"/>
        </w:rPr>
      </w:pPr>
      <w:r>
        <w:rPr>
          <w:sz w:val="40"/>
          <w:szCs w:val="40"/>
        </w:rPr>
        <w:t>JULY</w:t>
      </w:r>
      <w:r w:rsidR="00A4537B" w:rsidRPr="00A4537B">
        <w:rPr>
          <w:sz w:val="40"/>
          <w:szCs w:val="40"/>
        </w:rPr>
        <w:t xml:space="preserve"> – </w:t>
      </w:r>
      <w:r>
        <w:rPr>
          <w:sz w:val="40"/>
          <w:szCs w:val="40"/>
        </w:rPr>
        <w:t>SEPTEMBER</w:t>
      </w:r>
      <w:r w:rsidR="00A4537B" w:rsidRPr="00A4537B">
        <w:rPr>
          <w:sz w:val="40"/>
          <w:szCs w:val="40"/>
        </w:rPr>
        <w:t xml:space="preserve"> 2021</w:t>
      </w:r>
    </w:p>
    <w:p w14:paraId="5E84E9AE" w14:textId="77777777" w:rsidR="00A4537B" w:rsidRPr="00262C82" w:rsidRDefault="00A4537B" w:rsidP="00262C82">
      <w:pPr>
        <w:ind w:right="-1260"/>
        <w:rPr>
          <w:sz w:val="36"/>
          <w:szCs w:val="36"/>
        </w:rPr>
      </w:pPr>
    </w:p>
    <w:p w14:paraId="23993F1B" w14:textId="4916B4CB" w:rsidR="00B86B12" w:rsidRDefault="00B86B12" w:rsidP="00A4537B">
      <w:pPr>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0"/>
      </w:tblGrid>
      <w:tr w:rsidR="004677CF" w14:paraId="432F5596" w14:textId="77777777" w:rsidTr="004677CF">
        <w:tc>
          <w:tcPr>
            <w:tcW w:w="9260" w:type="dxa"/>
            <w:shd w:val="clear" w:color="auto" w:fill="E54681"/>
          </w:tcPr>
          <w:p w14:paraId="2C408B5E" w14:textId="3934366E" w:rsidR="004677CF" w:rsidRPr="004677CF" w:rsidRDefault="004677CF" w:rsidP="004677CF">
            <w:pPr>
              <w:pStyle w:val="Heading2"/>
              <w:rPr>
                <w:b/>
                <w:bCs/>
                <w:color w:val="FFFFFF" w:themeColor="background1"/>
              </w:rPr>
            </w:pPr>
            <w:r>
              <w:rPr>
                <w:b/>
                <w:bCs/>
                <w:color w:val="FFFFFF" w:themeColor="background1"/>
              </w:rPr>
              <w:t>VISION</w:t>
            </w:r>
          </w:p>
        </w:tc>
      </w:tr>
      <w:tr w:rsidR="004677CF" w14:paraId="53884195" w14:textId="77777777" w:rsidTr="004677CF">
        <w:trPr>
          <w:trHeight w:val="92"/>
        </w:trPr>
        <w:tc>
          <w:tcPr>
            <w:tcW w:w="9260" w:type="dxa"/>
          </w:tcPr>
          <w:p w14:paraId="09F33D6D" w14:textId="2481DAAB" w:rsidR="004677CF" w:rsidRPr="004677CF" w:rsidRDefault="004677CF" w:rsidP="004677CF">
            <w:pPr>
              <w:pStyle w:val="Heading2"/>
              <w:rPr>
                <w:b/>
                <w:bCs/>
                <w:color w:val="000000" w:themeColor="text1"/>
              </w:rPr>
            </w:pPr>
            <w:r w:rsidRPr="004677CF">
              <w:rPr>
                <w:b/>
                <w:bCs/>
                <w:color w:val="000000" w:themeColor="text1"/>
              </w:rPr>
              <w:t xml:space="preserve">Anna’s House Foundation desires to offer a future of hope and faith to foster children and foster families by providing housing, support, training, and resource in a Christian community setting. </w:t>
            </w:r>
          </w:p>
        </w:tc>
      </w:tr>
      <w:tr w:rsidR="004677CF" w14:paraId="5ED88428" w14:textId="77777777" w:rsidTr="004677CF">
        <w:tc>
          <w:tcPr>
            <w:tcW w:w="9260" w:type="dxa"/>
          </w:tcPr>
          <w:p w14:paraId="2D48D9CE" w14:textId="1E8326E1" w:rsidR="004677CF" w:rsidRPr="004677CF" w:rsidRDefault="004677CF" w:rsidP="004677CF">
            <w:pPr>
              <w:pStyle w:val="Heading2"/>
              <w:rPr>
                <w:color w:val="000000" w:themeColor="text1"/>
              </w:rPr>
            </w:pPr>
          </w:p>
        </w:tc>
      </w:tr>
      <w:tr w:rsidR="004677CF" w14:paraId="0E98FA98" w14:textId="77777777" w:rsidTr="004677CF">
        <w:tc>
          <w:tcPr>
            <w:tcW w:w="9260" w:type="dxa"/>
            <w:shd w:val="clear" w:color="auto" w:fill="7E44A1"/>
          </w:tcPr>
          <w:p w14:paraId="3352E7F2" w14:textId="0AFC8314" w:rsidR="004677CF" w:rsidRPr="004677CF" w:rsidRDefault="004677CF" w:rsidP="004677CF">
            <w:pPr>
              <w:pStyle w:val="Heading2"/>
              <w:rPr>
                <w:b/>
                <w:bCs/>
                <w:color w:val="FFFFFF" w:themeColor="background1"/>
              </w:rPr>
            </w:pPr>
            <w:r>
              <w:rPr>
                <w:b/>
                <w:bCs/>
                <w:color w:val="FFFFFF" w:themeColor="background1"/>
              </w:rPr>
              <w:t>MISSION</w:t>
            </w:r>
          </w:p>
        </w:tc>
      </w:tr>
      <w:tr w:rsidR="004677CF" w14:paraId="2A75BC13" w14:textId="77777777" w:rsidTr="004677CF">
        <w:tc>
          <w:tcPr>
            <w:tcW w:w="9260" w:type="dxa"/>
          </w:tcPr>
          <w:p w14:paraId="5FE9F0AE" w14:textId="77777777" w:rsidR="004677CF" w:rsidRDefault="004677CF" w:rsidP="004677CF">
            <w:pPr>
              <w:pStyle w:val="Heading2"/>
              <w:rPr>
                <w:b/>
                <w:bCs/>
                <w:color w:val="000000" w:themeColor="text1"/>
              </w:rPr>
            </w:pPr>
            <w:r>
              <w:rPr>
                <w:b/>
                <w:bCs/>
                <w:color w:val="000000" w:themeColor="text1"/>
              </w:rPr>
              <w:t>The Anna’s House Foundation is a faith-based organization whose mission is to provide immediate, stable and loving homes for children in Oklahoma state custody.</w:t>
            </w:r>
          </w:p>
          <w:p w14:paraId="1DD25E3B" w14:textId="5E14D2DA" w:rsidR="00523FBC" w:rsidRPr="00523FBC" w:rsidRDefault="00523FBC" w:rsidP="00523FBC"/>
        </w:tc>
      </w:tr>
      <w:tr w:rsidR="00523FBC" w14:paraId="02A70FC6" w14:textId="77777777" w:rsidTr="00523FBC">
        <w:tc>
          <w:tcPr>
            <w:tcW w:w="9260" w:type="dxa"/>
            <w:shd w:val="clear" w:color="auto" w:fill="43A4D5"/>
          </w:tcPr>
          <w:p w14:paraId="23294E21" w14:textId="3E9E22DC" w:rsidR="00523FBC" w:rsidRPr="00910F71" w:rsidRDefault="00910F71" w:rsidP="004677CF">
            <w:pPr>
              <w:pStyle w:val="Heading2"/>
              <w:rPr>
                <w:b/>
                <w:bCs/>
                <w:color w:val="FFFFFF" w:themeColor="background1"/>
              </w:rPr>
            </w:pPr>
            <w:r>
              <w:rPr>
                <w:b/>
                <w:bCs/>
                <w:color w:val="FFFFFF" w:themeColor="background1"/>
              </w:rPr>
              <w:t>INFORMATION PROCESS</w:t>
            </w:r>
          </w:p>
        </w:tc>
      </w:tr>
      <w:tr w:rsidR="00910F71" w14:paraId="76D8282F" w14:textId="77777777" w:rsidTr="00910F71">
        <w:tc>
          <w:tcPr>
            <w:tcW w:w="9260" w:type="dxa"/>
            <w:shd w:val="clear" w:color="auto" w:fill="auto"/>
          </w:tcPr>
          <w:p w14:paraId="0C320AE2" w14:textId="0E63FE6A" w:rsidR="00910F71" w:rsidRPr="00910F71" w:rsidRDefault="00910F71" w:rsidP="004677CF">
            <w:pPr>
              <w:pStyle w:val="Heading2"/>
              <w:rPr>
                <w:rFonts w:cstheme="majorHAnsi"/>
                <w:b/>
                <w:bCs/>
                <w:color w:val="000000" w:themeColor="text1"/>
                <w:sz w:val="28"/>
                <w:szCs w:val="28"/>
              </w:rPr>
            </w:pPr>
            <w:r w:rsidRPr="00910F71">
              <w:rPr>
                <w:rFonts w:cstheme="majorHAnsi"/>
                <w:b/>
                <w:bCs/>
                <w:color w:val="000000" w:themeColor="text1"/>
                <w:sz w:val="28"/>
                <w:szCs w:val="28"/>
              </w:rPr>
              <w:t>Anna’s House Foundation received information through bi-annual foster parent surveys, case reviews, staff exit interviews, foster parent exit interviews and audits. Information received is compiled, reviewed, and analyzed by staff, PQI team and Board of Directors with a goal of communicating successes and needed changes back to stakeholders.</w:t>
            </w:r>
          </w:p>
        </w:tc>
      </w:tr>
    </w:tbl>
    <w:p w14:paraId="0722A7C1" w14:textId="578A445E" w:rsidR="00B86B12" w:rsidRDefault="00B86B12" w:rsidP="004677CF">
      <w:pPr>
        <w:pStyle w:val="Heading2"/>
      </w:pPr>
    </w:p>
    <w:p w14:paraId="6E6DBF42" w14:textId="034F4383" w:rsidR="00B86B12" w:rsidRDefault="00B86B12" w:rsidP="00A4537B">
      <w:pPr>
        <w:rPr>
          <w:sz w:val="28"/>
          <w:szCs w:val="28"/>
        </w:rPr>
      </w:pPr>
    </w:p>
    <w:p w14:paraId="12DDA7DF" w14:textId="5C7DE117" w:rsidR="00B86B12" w:rsidRDefault="00B86B12" w:rsidP="00A4537B">
      <w:pPr>
        <w:rPr>
          <w:sz w:val="28"/>
          <w:szCs w:val="28"/>
        </w:rPr>
      </w:pPr>
    </w:p>
    <w:p w14:paraId="1673E38A" w14:textId="76ECF262" w:rsidR="00B86B12" w:rsidRDefault="00B86B12" w:rsidP="00A4537B">
      <w:pPr>
        <w:rPr>
          <w:sz w:val="28"/>
          <w:szCs w:val="28"/>
        </w:rPr>
      </w:pPr>
    </w:p>
    <w:p w14:paraId="7B1B895B" w14:textId="6A7151EE" w:rsidR="00B86B12" w:rsidRDefault="00B86B12" w:rsidP="00A4537B">
      <w:pPr>
        <w:rPr>
          <w:sz w:val="28"/>
          <w:szCs w:val="28"/>
        </w:rPr>
      </w:pPr>
    </w:p>
    <w:p w14:paraId="18610AA1" w14:textId="0EBBA78A" w:rsidR="00B86B12" w:rsidRDefault="00B86B12" w:rsidP="00867E39">
      <w:pPr>
        <w:jc w:val="center"/>
        <w:rPr>
          <w:sz w:val="28"/>
          <w:szCs w:val="28"/>
        </w:rPr>
      </w:pPr>
    </w:p>
    <w:p w14:paraId="2E82AA60" w14:textId="2A7D620A" w:rsidR="00B86B12" w:rsidRDefault="00B86B12" w:rsidP="00A4537B">
      <w:pPr>
        <w:rPr>
          <w:sz w:val="28"/>
          <w:szCs w:val="28"/>
        </w:rPr>
      </w:pPr>
    </w:p>
    <w:p w14:paraId="510BA448" w14:textId="46AA3BAB" w:rsidR="00B86B12" w:rsidRDefault="00B86B12" w:rsidP="00A4537B">
      <w:pPr>
        <w:rPr>
          <w:sz w:val="28"/>
          <w:szCs w:val="28"/>
        </w:rPr>
      </w:pPr>
    </w:p>
    <w:p w14:paraId="0BBFDCFA" w14:textId="5A8D0BBB" w:rsidR="00B86B12" w:rsidRDefault="00B86B12" w:rsidP="00A4537B">
      <w:pPr>
        <w:rPr>
          <w:sz w:val="28"/>
          <w:szCs w:val="28"/>
        </w:rPr>
      </w:pPr>
    </w:p>
    <w:p w14:paraId="7007E583" w14:textId="79FCD7F6" w:rsidR="00B86B12" w:rsidRDefault="00B86B12" w:rsidP="00A4537B">
      <w:pPr>
        <w:rPr>
          <w:sz w:val="28"/>
          <w:szCs w:val="28"/>
        </w:rPr>
      </w:pPr>
    </w:p>
    <w:p w14:paraId="73F5DE7E" w14:textId="3A6577CB" w:rsidR="00B86B12" w:rsidRDefault="00B86B12" w:rsidP="00A4537B">
      <w:pPr>
        <w:rPr>
          <w:sz w:val="28"/>
          <w:szCs w:val="28"/>
        </w:rPr>
      </w:pPr>
    </w:p>
    <w:p w14:paraId="61B16F80" w14:textId="6F0F69A6" w:rsidR="00B86B12" w:rsidRDefault="00B86B12" w:rsidP="00A4537B">
      <w:pPr>
        <w:rPr>
          <w:sz w:val="28"/>
          <w:szCs w:val="28"/>
        </w:rPr>
      </w:pPr>
    </w:p>
    <w:p w14:paraId="78656403" w14:textId="6C54BD9E" w:rsidR="00B86B12" w:rsidRDefault="00B86B12" w:rsidP="00A4537B">
      <w:pPr>
        <w:rPr>
          <w:sz w:val="28"/>
          <w:szCs w:val="28"/>
        </w:rPr>
      </w:pPr>
    </w:p>
    <w:p w14:paraId="09FB34E3" w14:textId="77777777" w:rsidR="00340D5A" w:rsidRDefault="00340D5A" w:rsidP="00A4537B">
      <w:pPr>
        <w:rPr>
          <w:sz w:val="28"/>
          <w:szCs w:val="28"/>
        </w:rPr>
      </w:pPr>
    </w:p>
    <w:p w14:paraId="5F8D1D38" w14:textId="77777777" w:rsidR="00910F71" w:rsidRDefault="00910F71" w:rsidP="00A4537B">
      <w:pPr>
        <w:rPr>
          <w:sz w:val="28"/>
          <w:szCs w:val="28"/>
        </w:rPr>
      </w:pPr>
    </w:p>
    <w:p w14:paraId="6B430829" w14:textId="77777777" w:rsidR="00B86B12" w:rsidRPr="00262C82" w:rsidRDefault="00B86B12" w:rsidP="00A4537B">
      <w:pPr>
        <w:rPr>
          <w:sz w:val="28"/>
          <w:szCs w:val="28"/>
        </w:rPr>
      </w:pPr>
    </w:p>
    <w:p w14:paraId="69D3F96A" w14:textId="14E08169" w:rsidR="00262C82" w:rsidRDefault="00262C82" w:rsidP="00961981">
      <w:pPr>
        <w:ind w:left="-990" w:right="-990"/>
        <w:rPr>
          <w:color w:val="4472C4" w:themeColor="accent1"/>
          <w:sz w:val="28"/>
          <w:szCs w:val="28"/>
        </w:rPr>
      </w:pPr>
      <w:r w:rsidRPr="006C45FD">
        <w:rPr>
          <w:color w:val="4472C4" w:themeColor="accent1"/>
          <w:sz w:val="28"/>
          <w:szCs w:val="28"/>
        </w:rPr>
        <w:lastRenderedPageBreak/>
        <w:t>FOSTER CARE PROGRAM</w:t>
      </w:r>
    </w:p>
    <w:tbl>
      <w:tblPr>
        <w:tblStyle w:val="TableGrid"/>
        <w:tblW w:w="10890" w:type="dxa"/>
        <w:tblInd w:w="-905" w:type="dxa"/>
        <w:tblLook w:val="04A0" w:firstRow="1" w:lastRow="0" w:firstColumn="1" w:lastColumn="0" w:noHBand="0" w:noVBand="1"/>
      </w:tblPr>
      <w:tblGrid>
        <w:gridCol w:w="5836"/>
        <w:gridCol w:w="5054"/>
      </w:tblGrid>
      <w:tr w:rsidR="00E45F31" w14:paraId="14324D2C" w14:textId="77777777" w:rsidTr="00DE4114">
        <w:tc>
          <w:tcPr>
            <w:tcW w:w="5836" w:type="dxa"/>
          </w:tcPr>
          <w:p w14:paraId="7884F655" w14:textId="67EA755C" w:rsidR="00BB2F5D" w:rsidRDefault="00E45F31" w:rsidP="006C45FD">
            <w:pPr>
              <w:ind w:right="-900"/>
              <w:rPr>
                <w:sz w:val="28"/>
                <w:szCs w:val="28"/>
              </w:rPr>
            </w:pPr>
            <w:r w:rsidRPr="00E45F31">
              <w:rPr>
                <w:noProof/>
                <w:sz w:val="28"/>
                <w:szCs w:val="28"/>
              </w:rPr>
              <w:drawing>
                <wp:inline distT="0" distB="0" distL="0" distR="0" wp14:anchorId="28A52FCD" wp14:editId="2FC9EEF0">
                  <wp:extent cx="3546400" cy="266113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595314" cy="2697843"/>
                          </a:xfrm>
                          <a:prstGeom prst="rect">
                            <a:avLst/>
                          </a:prstGeom>
                        </pic:spPr>
                      </pic:pic>
                    </a:graphicData>
                  </a:graphic>
                </wp:inline>
              </w:drawing>
            </w:r>
          </w:p>
        </w:tc>
        <w:tc>
          <w:tcPr>
            <w:tcW w:w="5054" w:type="dxa"/>
          </w:tcPr>
          <w:p w14:paraId="1750F702" w14:textId="77777777" w:rsidR="00B25655" w:rsidRPr="00B25655" w:rsidRDefault="00B25655" w:rsidP="00961981">
            <w:pPr>
              <w:ind w:right="-9"/>
              <w:rPr>
                <w:sz w:val="28"/>
                <w:szCs w:val="28"/>
              </w:rPr>
            </w:pPr>
            <w:r w:rsidRPr="00B25655">
              <w:rPr>
                <w:sz w:val="28"/>
                <w:szCs w:val="28"/>
              </w:rPr>
              <w:t>Directly tied to our need for new foster homes is a goal of maintaining existing foster home. The goal of AHF is to reach 24 months of services by all foster homes. To reach this goal we must evaluate the number home closures, their length of service and their reason for closure.</w:t>
            </w:r>
          </w:p>
          <w:p w14:paraId="7F58823A" w14:textId="77777777" w:rsidR="00BB2F5D" w:rsidRDefault="00BB2F5D" w:rsidP="006C45FD">
            <w:pPr>
              <w:ind w:right="-900"/>
              <w:rPr>
                <w:sz w:val="28"/>
                <w:szCs w:val="28"/>
              </w:rPr>
            </w:pPr>
          </w:p>
          <w:p w14:paraId="1FEB1863" w14:textId="3DFD46D4" w:rsidR="00D6553E" w:rsidRDefault="00D6553E" w:rsidP="00DE4114">
            <w:pPr>
              <w:ind w:right="-28"/>
              <w:rPr>
                <w:sz w:val="28"/>
                <w:szCs w:val="28"/>
              </w:rPr>
            </w:pPr>
            <w:r>
              <w:rPr>
                <w:sz w:val="28"/>
                <w:szCs w:val="28"/>
              </w:rPr>
              <w:t xml:space="preserve">As of </w:t>
            </w:r>
            <w:proofErr w:type="gramStart"/>
            <w:r w:rsidR="007E3BB9">
              <w:rPr>
                <w:sz w:val="28"/>
                <w:szCs w:val="28"/>
              </w:rPr>
              <w:t>September</w:t>
            </w:r>
            <w:r>
              <w:rPr>
                <w:sz w:val="28"/>
                <w:szCs w:val="28"/>
              </w:rPr>
              <w:t xml:space="preserve"> 2021</w:t>
            </w:r>
            <w:proofErr w:type="gramEnd"/>
            <w:r>
              <w:rPr>
                <w:sz w:val="28"/>
                <w:szCs w:val="28"/>
              </w:rPr>
              <w:t xml:space="preserve"> the average length of</w:t>
            </w:r>
            <w:r w:rsidR="00DE4114">
              <w:rPr>
                <w:sz w:val="28"/>
                <w:szCs w:val="28"/>
              </w:rPr>
              <w:t xml:space="preserve"> service for AHF foster families was </w:t>
            </w:r>
            <w:r w:rsidR="007E3BB9">
              <w:rPr>
                <w:sz w:val="28"/>
                <w:szCs w:val="28"/>
              </w:rPr>
              <w:t>10</w:t>
            </w:r>
            <w:r w:rsidR="00DE4114">
              <w:rPr>
                <w:sz w:val="28"/>
                <w:szCs w:val="28"/>
              </w:rPr>
              <w:t xml:space="preserve"> months</w:t>
            </w:r>
            <w:r w:rsidR="00961981">
              <w:rPr>
                <w:sz w:val="28"/>
                <w:szCs w:val="28"/>
              </w:rPr>
              <w:t xml:space="preserve"> served. </w:t>
            </w:r>
          </w:p>
        </w:tc>
      </w:tr>
      <w:tr w:rsidR="00E45F31" w14:paraId="172DFAA5" w14:textId="77777777" w:rsidTr="00DE4114">
        <w:trPr>
          <w:trHeight w:val="3797"/>
        </w:trPr>
        <w:tc>
          <w:tcPr>
            <w:tcW w:w="5836" w:type="dxa"/>
          </w:tcPr>
          <w:p w14:paraId="68C74D99" w14:textId="06341F9C" w:rsidR="00BB2F5D" w:rsidRDefault="00E45F31" w:rsidP="006C45FD">
            <w:pPr>
              <w:ind w:right="-900"/>
              <w:rPr>
                <w:sz w:val="28"/>
                <w:szCs w:val="28"/>
              </w:rPr>
            </w:pPr>
            <w:r w:rsidRPr="00E45F31">
              <w:rPr>
                <w:noProof/>
                <w:sz w:val="28"/>
                <w:szCs w:val="28"/>
              </w:rPr>
              <w:drawing>
                <wp:inline distT="0" distB="0" distL="0" distR="0" wp14:anchorId="18AD5F3E" wp14:editId="154EE6A0">
                  <wp:extent cx="3545840" cy="2724214"/>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80594" cy="2750915"/>
                          </a:xfrm>
                          <a:prstGeom prst="rect">
                            <a:avLst/>
                          </a:prstGeom>
                        </pic:spPr>
                      </pic:pic>
                    </a:graphicData>
                  </a:graphic>
                </wp:inline>
              </w:drawing>
            </w:r>
          </w:p>
        </w:tc>
        <w:tc>
          <w:tcPr>
            <w:tcW w:w="5054" w:type="dxa"/>
          </w:tcPr>
          <w:p w14:paraId="5C7B483C" w14:textId="77777777" w:rsidR="00B25655" w:rsidRPr="00B25655" w:rsidRDefault="00B25655" w:rsidP="00B25655">
            <w:pPr>
              <w:ind w:right="-101"/>
              <w:rPr>
                <w:sz w:val="28"/>
                <w:szCs w:val="28"/>
              </w:rPr>
            </w:pPr>
            <w:r w:rsidRPr="00B25655">
              <w:rPr>
                <w:sz w:val="28"/>
                <w:szCs w:val="28"/>
              </w:rPr>
              <w:t xml:space="preserve">AHF strives to provide an environment where foster children are not separated from their siblings. Our goal is that the percentage of sibling groups where all siblings are placed together shall be at least 65%. </w:t>
            </w:r>
          </w:p>
          <w:p w14:paraId="50470C7C" w14:textId="77777777" w:rsidR="00BB2F5D" w:rsidRDefault="00BB2F5D" w:rsidP="00B25655">
            <w:pPr>
              <w:ind w:right="-1001"/>
              <w:rPr>
                <w:sz w:val="28"/>
                <w:szCs w:val="28"/>
              </w:rPr>
            </w:pPr>
          </w:p>
          <w:p w14:paraId="40F8E4C3" w14:textId="6B217043" w:rsidR="00DE4114" w:rsidRDefault="00EE423C" w:rsidP="00DE4114">
            <w:pPr>
              <w:ind w:right="-9"/>
              <w:rPr>
                <w:sz w:val="28"/>
                <w:szCs w:val="28"/>
              </w:rPr>
            </w:pPr>
            <w:r>
              <w:rPr>
                <w:sz w:val="28"/>
                <w:szCs w:val="28"/>
              </w:rPr>
              <w:t>For Q</w:t>
            </w:r>
            <w:r w:rsidR="007E3BB9">
              <w:rPr>
                <w:sz w:val="28"/>
                <w:szCs w:val="28"/>
              </w:rPr>
              <w:t>3</w:t>
            </w:r>
            <w:r>
              <w:rPr>
                <w:sz w:val="28"/>
                <w:szCs w:val="28"/>
              </w:rPr>
              <w:t xml:space="preserve"> - 6</w:t>
            </w:r>
            <w:r w:rsidR="007E3BB9">
              <w:rPr>
                <w:sz w:val="28"/>
                <w:szCs w:val="28"/>
              </w:rPr>
              <w:t>2</w:t>
            </w:r>
            <w:r w:rsidR="00DE4114">
              <w:rPr>
                <w:sz w:val="28"/>
                <w:szCs w:val="28"/>
              </w:rPr>
              <w:t xml:space="preserve">% of children placed by AHF are </w:t>
            </w:r>
            <w:r>
              <w:rPr>
                <w:sz w:val="28"/>
                <w:szCs w:val="28"/>
              </w:rPr>
              <w:t xml:space="preserve">placed with </w:t>
            </w:r>
            <w:r w:rsidR="00DE4114">
              <w:rPr>
                <w:sz w:val="28"/>
                <w:szCs w:val="28"/>
              </w:rPr>
              <w:t>one</w:t>
            </w:r>
            <w:r>
              <w:rPr>
                <w:sz w:val="28"/>
                <w:szCs w:val="28"/>
              </w:rPr>
              <w:t xml:space="preserve"> or more</w:t>
            </w:r>
            <w:r w:rsidR="00DE4114">
              <w:rPr>
                <w:sz w:val="28"/>
                <w:szCs w:val="28"/>
              </w:rPr>
              <w:t xml:space="preserve"> of</w:t>
            </w:r>
            <w:r w:rsidR="00961981">
              <w:rPr>
                <w:sz w:val="28"/>
                <w:szCs w:val="28"/>
              </w:rPr>
              <w:t xml:space="preserve"> their</w:t>
            </w:r>
            <w:r w:rsidR="00DE4114">
              <w:rPr>
                <w:sz w:val="28"/>
                <w:szCs w:val="28"/>
              </w:rPr>
              <w:t xml:space="preserve"> siblings. </w:t>
            </w:r>
          </w:p>
        </w:tc>
      </w:tr>
      <w:tr w:rsidR="00E45F31" w14:paraId="56E19DB4" w14:textId="77777777" w:rsidTr="00DE4114">
        <w:tc>
          <w:tcPr>
            <w:tcW w:w="5836" w:type="dxa"/>
          </w:tcPr>
          <w:p w14:paraId="59F5500D" w14:textId="7ED4D42B" w:rsidR="00BB2F5D" w:rsidRDefault="00E45F31" w:rsidP="006C45FD">
            <w:pPr>
              <w:ind w:right="-900"/>
              <w:rPr>
                <w:sz w:val="28"/>
                <w:szCs w:val="28"/>
              </w:rPr>
            </w:pPr>
            <w:r w:rsidRPr="00E45F31">
              <w:rPr>
                <w:noProof/>
                <w:sz w:val="28"/>
                <w:szCs w:val="28"/>
              </w:rPr>
              <w:drawing>
                <wp:inline distT="0" distB="0" distL="0" distR="0" wp14:anchorId="45DC81E3" wp14:editId="279BAAB4">
                  <wp:extent cx="3545840" cy="2641594"/>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75602" cy="2663766"/>
                          </a:xfrm>
                          <a:prstGeom prst="rect">
                            <a:avLst/>
                          </a:prstGeom>
                        </pic:spPr>
                      </pic:pic>
                    </a:graphicData>
                  </a:graphic>
                </wp:inline>
              </w:drawing>
            </w:r>
          </w:p>
        </w:tc>
        <w:tc>
          <w:tcPr>
            <w:tcW w:w="5054" w:type="dxa"/>
          </w:tcPr>
          <w:p w14:paraId="517DB029" w14:textId="77777777" w:rsidR="00B25655" w:rsidRPr="00B25655" w:rsidRDefault="00B25655" w:rsidP="00961981">
            <w:pPr>
              <w:rPr>
                <w:sz w:val="28"/>
                <w:szCs w:val="28"/>
              </w:rPr>
            </w:pPr>
            <w:r w:rsidRPr="00B25655">
              <w:rPr>
                <w:sz w:val="28"/>
                <w:szCs w:val="28"/>
              </w:rPr>
              <w:t xml:space="preserve">AHF aims to proportionally serve foster children based on the age needs of child in OKDHS custody. </w:t>
            </w:r>
          </w:p>
          <w:p w14:paraId="411AC58B" w14:textId="77777777" w:rsidR="00BB2F5D" w:rsidRDefault="00BB2F5D" w:rsidP="00961981">
            <w:pPr>
              <w:rPr>
                <w:sz w:val="28"/>
                <w:szCs w:val="28"/>
              </w:rPr>
            </w:pPr>
          </w:p>
          <w:p w14:paraId="330CE0D5" w14:textId="7E263E8A" w:rsidR="006C6E85" w:rsidRDefault="006C6E85" w:rsidP="00961981">
            <w:pPr>
              <w:rPr>
                <w:sz w:val="28"/>
                <w:szCs w:val="28"/>
              </w:rPr>
            </w:pPr>
            <w:r>
              <w:rPr>
                <w:sz w:val="28"/>
                <w:szCs w:val="28"/>
              </w:rPr>
              <w:t xml:space="preserve">AHF served </w:t>
            </w:r>
            <w:r w:rsidR="00961981">
              <w:rPr>
                <w:sz w:val="28"/>
                <w:szCs w:val="28"/>
              </w:rPr>
              <w:t>an</w:t>
            </w:r>
            <w:r>
              <w:rPr>
                <w:sz w:val="28"/>
                <w:szCs w:val="28"/>
              </w:rPr>
              <w:t xml:space="preserve"> equivalent proportion of children based on age of children in OKDHS custody during the months on </w:t>
            </w:r>
            <w:r w:rsidR="00BC7B37">
              <w:rPr>
                <w:sz w:val="28"/>
                <w:szCs w:val="28"/>
              </w:rPr>
              <w:t>July - September</w:t>
            </w:r>
            <w:r>
              <w:rPr>
                <w:sz w:val="28"/>
                <w:szCs w:val="28"/>
              </w:rPr>
              <w:t xml:space="preserve"> 2021. </w:t>
            </w:r>
          </w:p>
        </w:tc>
      </w:tr>
    </w:tbl>
    <w:p w14:paraId="27B1B254" w14:textId="3A4A280B" w:rsidR="00F76809" w:rsidRDefault="00F76809" w:rsidP="00415416">
      <w:pPr>
        <w:ind w:right="-720"/>
        <w:rPr>
          <w:sz w:val="28"/>
          <w:szCs w:val="28"/>
        </w:rPr>
      </w:pPr>
    </w:p>
    <w:p w14:paraId="49EEF64D" w14:textId="77777777" w:rsidR="00415416" w:rsidRDefault="00415416" w:rsidP="00415416">
      <w:pPr>
        <w:ind w:right="-720"/>
        <w:rPr>
          <w:sz w:val="28"/>
          <w:szCs w:val="28"/>
        </w:rPr>
      </w:pPr>
    </w:p>
    <w:p w14:paraId="106E4432" w14:textId="713AE38A" w:rsidR="00B86B12" w:rsidRDefault="00B86B12" w:rsidP="00B86B12">
      <w:pPr>
        <w:ind w:left="-990" w:right="-720"/>
        <w:rPr>
          <w:sz w:val="28"/>
          <w:szCs w:val="28"/>
        </w:rPr>
      </w:pPr>
    </w:p>
    <w:p w14:paraId="7B3819DE" w14:textId="1790404B" w:rsidR="00B86B12" w:rsidRPr="006C45FD" w:rsidRDefault="00B86B12" w:rsidP="00B86B12">
      <w:pPr>
        <w:ind w:left="-990" w:right="-720"/>
        <w:rPr>
          <w:color w:val="4472C4" w:themeColor="accent1"/>
          <w:sz w:val="28"/>
          <w:szCs w:val="28"/>
        </w:rPr>
      </w:pPr>
      <w:r w:rsidRPr="006C45FD">
        <w:rPr>
          <w:color w:val="4472C4" w:themeColor="accent1"/>
          <w:sz w:val="28"/>
          <w:szCs w:val="28"/>
        </w:rPr>
        <w:lastRenderedPageBreak/>
        <w:t>FINANCIALS</w:t>
      </w:r>
      <w:r w:rsidR="00B25655">
        <w:rPr>
          <w:color w:val="4472C4" w:themeColor="accent1"/>
          <w:sz w:val="28"/>
          <w:szCs w:val="28"/>
        </w:rPr>
        <w:t xml:space="preserve"> </w:t>
      </w:r>
    </w:p>
    <w:tbl>
      <w:tblPr>
        <w:tblStyle w:val="TableGrid"/>
        <w:tblpPr w:leftFromText="180" w:rightFromText="180" w:vertAnchor="text" w:horzAnchor="page" w:tblpX="595" w:tblpY="238"/>
        <w:tblW w:w="10795" w:type="dxa"/>
        <w:tblLook w:val="04A0" w:firstRow="1" w:lastRow="0" w:firstColumn="1" w:lastColumn="0" w:noHBand="0" w:noVBand="1"/>
      </w:tblPr>
      <w:tblGrid>
        <w:gridCol w:w="5760"/>
        <w:gridCol w:w="5035"/>
      </w:tblGrid>
      <w:tr w:rsidR="00745919" w14:paraId="3B0E76C7" w14:textId="77777777" w:rsidTr="0014143A">
        <w:tc>
          <w:tcPr>
            <w:tcW w:w="5760" w:type="dxa"/>
          </w:tcPr>
          <w:p w14:paraId="2C687C3D" w14:textId="50D27A81" w:rsidR="00B25655" w:rsidRDefault="00745919" w:rsidP="00447BE3">
            <w:pPr>
              <w:ind w:right="-720"/>
              <w:rPr>
                <w:sz w:val="28"/>
                <w:szCs w:val="28"/>
              </w:rPr>
            </w:pPr>
            <w:r w:rsidRPr="00745919">
              <w:rPr>
                <w:noProof/>
                <w:sz w:val="28"/>
                <w:szCs w:val="28"/>
              </w:rPr>
              <w:drawing>
                <wp:inline distT="0" distB="0" distL="0" distR="0" wp14:anchorId="35B2856C" wp14:editId="0B7E4152">
                  <wp:extent cx="3460124" cy="1981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83098" cy="1994355"/>
                          </a:xfrm>
                          <a:prstGeom prst="rect">
                            <a:avLst/>
                          </a:prstGeom>
                        </pic:spPr>
                      </pic:pic>
                    </a:graphicData>
                  </a:graphic>
                </wp:inline>
              </w:drawing>
            </w:r>
          </w:p>
        </w:tc>
        <w:tc>
          <w:tcPr>
            <w:tcW w:w="5035" w:type="dxa"/>
          </w:tcPr>
          <w:p w14:paraId="3F730834" w14:textId="23710413" w:rsidR="005A5647" w:rsidRDefault="00266D6A" w:rsidP="00EE423C">
            <w:pPr>
              <w:ind w:left="-64" w:hanging="20"/>
              <w:rPr>
                <w:sz w:val="28"/>
                <w:szCs w:val="28"/>
              </w:rPr>
            </w:pPr>
            <w:r>
              <w:rPr>
                <w:sz w:val="28"/>
                <w:szCs w:val="28"/>
              </w:rPr>
              <w:t xml:space="preserve">AHF creates an annual budget or written plan of financing with projects sufficient funds to enable them to carry out their defined purpose and provide proper care to foster families and children. </w:t>
            </w:r>
          </w:p>
        </w:tc>
      </w:tr>
      <w:tr w:rsidR="00745919" w14:paraId="573147D7" w14:textId="77777777" w:rsidTr="0014143A">
        <w:tc>
          <w:tcPr>
            <w:tcW w:w="5760" w:type="dxa"/>
          </w:tcPr>
          <w:p w14:paraId="34EF7980" w14:textId="467E77C3" w:rsidR="00B25655" w:rsidRDefault="00745919" w:rsidP="00447BE3">
            <w:pPr>
              <w:ind w:left="163" w:right="-720" w:hanging="163"/>
              <w:rPr>
                <w:sz w:val="28"/>
                <w:szCs w:val="28"/>
              </w:rPr>
            </w:pPr>
            <w:r w:rsidRPr="00745919">
              <w:rPr>
                <w:noProof/>
                <w:sz w:val="28"/>
                <w:szCs w:val="28"/>
              </w:rPr>
              <w:drawing>
                <wp:inline distT="0" distB="0" distL="0" distR="0" wp14:anchorId="7CC53E04" wp14:editId="1649C189">
                  <wp:extent cx="3458845" cy="1852551"/>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16038" cy="1883183"/>
                          </a:xfrm>
                          <a:prstGeom prst="rect">
                            <a:avLst/>
                          </a:prstGeom>
                        </pic:spPr>
                      </pic:pic>
                    </a:graphicData>
                  </a:graphic>
                </wp:inline>
              </w:drawing>
            </w:r>
          </w:p>
        </w:tc>
        <w:tc>
          <w:tcPr>
            <w:tcW w:w="5035" w:type="dxa"/>
          </w:tcPr>
          <w:p w14:paraId="57C00938" w14:textId="77777777" w:rsidR="005A5647" w:rsidRDefault="005A5647" w:rsidP="00961981">
            <w:pPr>
              <w:rPr>
                <w:sz w:val="28"/>
                <w:szCs w:val="28"/>
              </w:rPr>
            </w:pPr>
          </w:p>
          <w:p w14:paraId="6214E8BB" w14:textId="151987EC" w:rsidR="005A5647" w:rsidRDefault="004D7A99" w:rsidP="00961981">
            <w:pPr>
              <w:rPr>
                <w:sz w:val="28"/>
                <w:szCs w:val="28"/>
              </w:rPr>
            </w:pPr>
            <w:r>
              <w:rPr>
                <w:sz w:val="28"/>
                <w:szCs w:val="28"/>
              </w:rPr>
              <w:t>The largest variance in revenge vs expenses is the difference in placement contract and grants. There is an anticipated $35,000 grant to appear in the 4</w:t>
            </w:r>
            <w:r w:rsidRPr="004D7A99">
              <w:rPr>
                <w:sz w:val="28"/>
                <w:szCs w:val="28"/>
                <w:vertAlign w:val="superscript"/>
              </w:rPr>
              <w:t>th</w:t>
            </w:r>
            <w:r>
              <w:rPr>
                <w:sz w:val="28"/>
                <w:szCs w:val="28"/>
              </w:rPr>
              <w:t xml:space="preserve"> quarter. </w:t>
            </w:r>
          </w:p>
        </w:tc>
      </w:tr>
    </w:tbl>
    <w:p w14:paraId="701782FF" w14:textId="16C64440" w:rsidR="00B86B12" w:rsidRDefault="00B86B12" w:rsidP="00B86B12">
      <w:pPr>
        <w:ind w:left="-990" w:right="-720"/>
        <w:rPr>
          <w:sz w:val="28"/>
          <w:szCs w:val="28"/>
        </w:rPr>
      </w:pPr>
    </w:p>
    <w:p w14:paraId="4CA22170" w14:textId="02E99A83" w:rsidR="00B25655" w:rsidRDefault="00B25655" w:rsidP="00B86B12">
      <w:pPr>
        <w:ind w:left="-990" w:right="-720"/>
        <w:rPr>
          <w:sz w:val="28"/>
          <w:szCs w:val="28"/>
        </w:rPr>
      </w:pPr>
    </w:p>
    <w:p w14:paraId="7F984367" w14:textId="43A8A00E" w:rsidR="00415416" w:rsidRDefault="00B25655" w:rsidP="00415416">
      <w:pPr>
        <w:ind w:left="-990" w:right="-720"/>
        <w:rPr>
          <w:color w:val="4472C4" w:themeColor="accent1"/>
          <w:sz w:val="28"/>
          <w:szCs w:val="28"/>
        </w:rPr>
      </w:pPr>
      <w:r>
        <w:rPr>
          <w:color w:val="4472C4" w:themeColor="accent1"/>
          <w:sz w:val="28"/>
          <w:szCs w:val="28"/>
        </w:rPr>
        <w:t>CERTIFICATION</w:t>
      </w:r>
      <w:r w:rsidR="00D827D7">
        <w:rPr>
          <w:color w:val="4472C4" w:themeColor="accent1"/>
          <w:sz w:val="28"/>
          <w:szCs w:val="28"/>
        </w:rPr>
        <w:t xml:space="preserve"> </w:t>
      </w:r>
    </w:p>
    <w:p w14:paraId="371117F2" w14:textId="77777777" w:rsidR="00415416" w:rsidRDefault="00415416" w:rsidP="00415416">
      <w:pPr>
        <w:ind w:left="-990" w:right="-720"/>
        <w:rPr>
          <w:color w:val="4472C4" w:themeColor="accent1"/>
          <w:sz w:val="28"/>
          <w:szCs w:val="28"/>
        </w:rPr>
      </w:pPr>
    </w:p>
    <w:tbl>
      <w:tblPr>
        <w:tblStyle w:val="TableGrid"/>
        <w:tblW w:w="10800" w:type="dxa"/>
        <w:tblInd w:w="-905" w:type="dxa"/>
        <w:tblLook w:val="04A0" w:firstRow="1" w:lastRow="0" w:firstColumn="1" w:lastColumn="0" w:noHBand="0" w:noVBand="1"/>
      </w:tblPr>
      <w:tblGrid>
        <w:gridCol w:w="5760"/>
        <w:gridCol w:w="5040"/>
      </w:tblGrid>
      <w:tr w:rsidR="005D2732" w14:paraId="1761046C" w14:textId="77777777" w:rsidTr="00E75E3F">
        <w:trPr>
          <w:trHeight w:val="3248"/>
        </w:trPr>
        <w:tc>
          <w:tcPr>
            <w:tcW w:w="5760" w:type="dxa"/>
          </w:tcPr>
          <w:p w14:paraId="46888A5E" w14:textId="1A4782CC" w:rsidR="00D827D7" w:rsidRDefault="00E75E3F" w:rsidP="00B86B12">
            <w:pPr>
              <w:ind w:right="-720"/>
              <w:rPr>
                <w:color w:val="4472C4" w:themeColor="accent1"/>
                <w:sz w:val="28"/>
                <w:szCs w:val="28"/>
              </w:rPr>
            </w:pPr>
            <w:r>
              <w:rPr>
                <w:noProof/>
              </w:rPr>
              <w:drawing>
                <wp:inline distT="0" distB="0" distL="0" distR="0" wp14:anchorId="44718880" wp14:editId="528E7FC6">
                  <wp:extent cx="3460750" cy="2010321"/>
                  <wp:effectExtent l="0" t="0" r="6350" b="9525"/>
                  <wp:docPr id="6" name="Chart 6">
                    <a:extLst xmlns:a="http://schemas.openxmlformats.org/drawingml/2006/main">
                      <a:ext uri="{FF2B5EF4-FFF2-40B4-BE49-F238E27FC236}">
                        <a16:creationId xmlns:a16="http://schemas.microsoft.com/office/drawing/2014/main" id="{8DF472C2-2F3B-EE45-AF2F-170ADA9921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5040" w:type="dxa"/>
          </w:tcPr>
          <w:p w14:paraId="00708574" w14:textId="77777777" w:rsidR="005A5647" w:rsidRDefault="00415416" w:rsidP="00961981">
            <w:pPr>
              <w:rPr>
                <w:color w:val="000000" w:themeColor="text1"/>
                <w:sz w:val="28"/>
                <w:szCs w:val="28"/>
              </w:rPr>
            </w:pPr>
            <w:r w:rsidRPr="00415416">
              <w:rPr>
                <w:color w:val="000000" w:themeColor="text1"/>
                <w:sz w:val="28"/>
                <w:szCs w:val="28"/>
              </w:rPr>
              <w:t xml:space="preserve">The need for foster home </w:t>
            </w:r>
            <w:r w:rsidR="004171F8" w:rsidRPr="00415416">
              <w:rPr>
                <w:color w:val="000000" w:themeColor="text1"/>
                <w:sz w:val="28"/>
                <w:szCs w:val="28"/>
              </w:rPr>
              <w:t>exceeds</w:t>
            </w:r>
            <w:r w:rsidRPr="00415416">
              <w:rPr>
                <w:color w:val="000000" w:themeColor="text1"/>
                <w:sz w:val="28"/>
                <w:szCs w:val="28"/>
              </w:rPr>
              <w:t xml:space="preserve"> the number of homes available in our state. The goal of this approach is to increase the number of new and experienced foster homes resulting in more children served.</w:t>
            </w:r>
          </w:p>
          <w:p w14:paraId="0F07AC1D" w14:textId="77777777" w:rsidR="005A5647" w:rsidRDefault="005A5647" w:rsidP="00961981">
            <w:pPr>
              <w:rPr>
                <w:color w:val="000000" w:themeColor="text1"/>
                <w:sz w:val="28"/>
                <w:szCs w:val="28"/>
              </w:rPr>
            </w:pPr>
          </w:p>
          <w:p w14:paraId="7F310A31" w14:textId="2DF64332" w:rsidR="00D827D7" w:rsidRDefault="005A5647" w:rsidP="00961981">
            <w:pPr>
              <w:rPr>
                <w:color w:val="4472C4" w:themeColor="accent1"/>
                <w:sz w:val="28"/>
                <w:szCs w:val="28"/>
              </w:rPr>
            </w:pPr>
            <w:r w:rsidRPr="00E75E3F">
              <w:rPr>
                <w:color w:val="000000" w:themeColor="text1"/>
                <w:sz w:val="28"/>
                <w:szCs w:val="28"/>
              </w:rPr>
              <w:t xml:space="preserve">AHF </w:t>
            </w:r>
            <w:r w:rsidR="00E75E3F" w:rsidRPr="00E75E3F">
              <w:rPr>
                <w:color w:val="000000" w:themeColor="text1"/>
                <w:sz w:val="28"/>
                <w:szCs w:val="28"/>
              </w:rPr>
              <w:t>set</w:t>
            </w:r>
            <w:r w:rsidRPr="00E75E3F">
              <w:rPr>
                <w:color w:val="000000" w:themeColor="text1"/>
                <w:sz w:val="28"/>
                <w:szCs w:val="28"/>
              </w:rPr>
              <w:t xml:space="preserve"> our certification goal of 2</w:t>
            </w:r>
            <w:r w:rsidR="00E75E3F" w:rsidRPr="00E75E3F">
              <w:rPr>
                <w:color w:val="000000" w:themeColor="text1"/>
                <w:sz w:val="28"/>
                <w:szCs w:val="28"/>
              </w:rPr>
              <w:t>4</w:t>
            </w:r>
            <w:r w:rsidRPr="00E75E3F">
              <w:rPr>
                <w:color w:val="000000" w:themeColor="text1"/>
                <w:sz w:val="28"/>
                <w:szCs w:val="28"/>
              </w:rPr>
              <w:t xml:space="preserve"> families</w:t>
            </w:r>
            <w:r w:rsidR="00E75E3F" w:rsidRPr="00E75E3F">
              <w:rPr>
                <w:color w:val="000000" w:themeColor="text1"/>
                <w:sz w:val="28"/>
                <w:szCs w:val="28"/>
              </w:rPr>
              <w:t>, and currently had a total of 3 newly certified families.</w:t>
            </w:r>
            <w:r w:rsidR="00E75E3F">
              <w:rPr>
                <w:color w:val="000000" w:themeColor="text1"/>
                <w:sz w:val="28"/>
                <w:szCs w:val="28"/>
              </w:rPr>
              <w:t xml:space="preserve"> </w:t>
            </w:r>
          </w:p>
        </w:tc>
      </w:tr>
    </w:tbl>
    <w:p w14:paraId="75E5BCD7" w14:textId="77777777" w:rsidR="00D827D7" w:rsidRDefault="00D827D7" w:rsidP="00D827D7">
      <w:pPr>
        <w:ind w:right="-720"/>
        <w:rPr>
          <w:color w:val="4472C4" w:themeColor="accent1"/>
          <w:sz w:val="28"/>
          <w:szCs w:val="28"/>
        </w:rPr>
      </w:pPr>
    </w:p>
    <w:p w14:paraId="2352ED3E" w14:textId="2D2B5B70" w:rsidR="00D827D7" w:rsidRDefault="00D827D7" w:rsidP="00B86B12">
      <w:pPr>
        <w:ind w:left="-990" w:right="-720"/>
        <w:rPr>
          <w:color w:val="4472C4" w:themeColor="accent1"/>
          <w:sz w:val="28"/>
          <w:szCs w:val="28"/>
        </w:rPr>
      </w:pPr>
    </w:p>
    <w:p w14:paraId="735F9520" w14:textId="34E8EABB" w:rsidR="005A5647" w:rsidRDefault="005A5647" w:rsidP="00B86B12">
      <w:pPr>
        <w:ind w:left="-990" w:right="-720"/>
        <w:rPr>
          <w:color w:val="4472C4" w:themeColor="accent1"/>
          <w:sz w:val="28"/>
          <w:szCs w:val="28"/>
        </w:rPr>
      </w:pPr>
    </w:p>
    <w:p w14:paraId="6681D662" w14:textId="1E0A4E43" w:rsidR="005A5647" w:rsidRDefault="005A5647" w:rsidP="00B86B12">
      <w:pPr>
        <w:ind w:left="-990" w:right="-720"/>
        <w:rPr>
          <w:color w:val="4472C4" w:themeColor="accent1"/>
          <w:sz w:val="28"/>
          <w:szCs w:val="28"/>
        </w:rPr>
      </w:pPr>
    </w:p>
    <w:p w14:paraId="0C691FF5" w14:textId="37FBB5A6" w:rsidR="005A5647" w:rsidRDefault="005A5647" w:rsidP="00B86B12">
      <w:pPr>
        <w:ind w:left="-990" w:right="-720"/>
        <w:rPr>
          <w:color w:val="4472C4" w:themeColor="accent1"/>
          <w:sz w:val="28"/>
          <w:szCs w:val="28"/>
        </w:rPr>
      </w:pPr>
    </w:p>
    <w:p w14:paraId="4E746B42" w14:textId="6343A787" w:rsidR="005A5647" w:rsidRDefault="005A5647" w:rsidP="00B86B12">
      <w:pPr>
        <w:ind w:left="-990" w:right="-720"/>
        <w:rPr>
          <w:color w:val="4472C4" w:themeColor="accent1"/>
          <w:sz w:val="28"/>
          <w:szCs w:val="28"/>
        </w:rPr>
      </w:pPr>
    </w:p>
    <w:p w14:paraId="357EDD1B" w14:textId="77777777" w:rsidR="005A5647" w:rsidRDefault="005A5647" w:rsidP="00B86B12">
      <w:pPr>
        <w:ind w:left="-990" w:right="-720"/>
        <w:rPr>
          <w:color w:val="4472C4" w:themeColor="accent1"/>
          <w:sz w:val="28"/>
          <w:szCs w:val="28"/>
        </w:rPr>
      </w:pPr>
    </w:p>
    <w:p w14:paraId="56D93861" w14:textId="098A8D14" w:rsidR="00B25655" w:rsidRDefault="00D827D7" w:rsidP="00B86B12">
      <w:pPr>
        <w:ind w:left="-990" w:right="-720"/>
        <w:rPr>
          <w:sz w:val="28"/>
          <w:szCs w:val="28"/>
        </w:rPr>
      </w:pPr>
      <w:r>
        <w:rPr>
          <w:color w:val="4472C4" w:themeColor="accent1"/>
          <w:sz w:val="28"/>
          <w:szCs w:val="28"/>
        </w:rPr>
        <w:t>TANGIBLE RESOURCES</w:t>
      </w:r>
    </w:p>
    <w:tbl>
      <w:tblPr>
        <w:tblStyle w:val="TableGrid"/>
        <w:tblW w:w="10975" w:type="dxa"/>
        <w:tblInd w:w="-990" w:type="dxa"/>
        <w:tblLook w:val="04A0" w:firstRow="1" w:lastRow="0" w:firstColumn="1" w:lastColumn="0" w:noHBand="0" w:noVBand="1"/>
      </w:tblPr>
      <w:tblGrid>
        <w:gridCol w:w="5935"/>
        <w:gridCol w:w="5040"/>
      </w:tblGrid>
      <w:tr w:rsidR="00447BE3" w14:paraId="20BEFA72" w14:textId="77777777" w:rsidTr="0014143A">
        <w:tc>
          <w:tcPr>
            <w:tcW w:w="5935" w:type="dxa"/>
          </w:tcPr>
          <w:p w14:paraId="503245BC" w14:textId="3025D472" w:rsidR="00D827D7" w:rsidRDefault="006260C3" w:rsidP="00B86B12">
            <w:pPr>
              <w:ind w:right="-720"/>
              <w:rPr>
                <w:sz w:val="28"/>
                <w:szCs w:val="28"/>
              </w:rPr>
            </w:pPr>
            <w:r w:rsidRPr="006260C3">
              <w:rPr>
                <w:noProof/>
                <w:sz w:val="28"/>
                <w:szCs w:val="28"/>
              </w:rPr>
              <w:lastRenderedPageBreak/>
              <w:drawing>
                <wp:inline distT="0" distB="0" distL="0" distR="0" wp14:anchorId="3653E35F" wp14:editId="4376E301">
                  <wp:extent cx="3617716" cy="2762655"/>
                  <wp:effectExtent l="0" t="0" r="190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61571" cy="2796145"/>
                          </a:xfrm>
                          <a:prstGeom prst="rect">
                            <a:avLst/>
                          </a:prstGeom>
                        </pic:spPr>
                      </pic:pic>
                    </a:graphicData>
                  </a:graphic>
                </wp:inline>
              </w:drawing>
            </w:r>
          </w:p>
        </w:tc>
        <w:tc>
          <w:tcPr>
            <w:tcW w:w="5040" w:type="dxa"/>
          </w:tcPr>
          <w:p w14:paraId="33AA20F4" w14:textId="29522EAE" w:rsidR="00D827D7" w:rsidRDefault="00447BE3" w:rsidP="00961981">
            <w:pPr>
              <w:ind w:left="-26" w:right="81"/>
              <w:rPr>
                <w:sz w:val="28"/>
                <w:szCs w:val="28"/>
              </w:rPr>
            </w:pPr>
            <w:r>
              <w:rPr>
                <w:sz w:val="28"/>
                <w:szCs w:val="28"/>
              </w:rPr>
              <w:t xml:space="preserve">Well supported families also have lower rates of maltreatment in care. The foal of this approach is to use the most appropriate forms of support to meet the families financial, emotional and spiritual needs resulting in longer tenures of service. </w:t>
            </w:r>
          </w:p>
        </w:tc>
      </w:tr>
    </w:tbl>
    <w:p w14:paraId="5AEE814B" w14:textId="410832AA" w:rsidR="00D827D7" w:rsidRPr="00B86B12" w:rsidRDefault="00D827D7" w:rsidP="00415416">
      <w:pPr>
        <w:ind w:right="-720"/>
        <w:rPr>
          <w:sz w:val="28"/>
          <w:szCs w:val="28"/>
        </w:rPr>
      </w:pPr>
    </w:p>
    <w:sectPr w:rsidR="00D827D7" w:rsidRPr="00B86B12" w:rsidSect="00B86B12">
      <w:pgSz w:w="12240" w:h="15840"/>
      <w:pgMar w:top="1359" w:right="1440" w:bottom="234"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2E465" w14:textId="77777777" w:rsidR="000E00E0" w:rsidRDefault="000E00E0" w:rsidP="00A4537B">
      <w:r>
        <w:separator/>
      </w:r>
    </w:p>
  </w:endnote>
  <w:endnote w:type="continuationSeparator" w:id="0">
    <w:p w14:paraId="258D098C" w14:textId="77777777" w:rsidR="000E00E0" w:rsidRDefault="000E00E0" w:rsidP="00A45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15A26" w14:textId="77777777" w:rsidR="000E00E0" w:rsidRDefault="000E00E0" w:rsidP="00A4537B">
      <w:r>
        <w:separator/>
      </w:r>
    </w:p>
  </w:footnote>
  <w:footnote w:type="continuationSeparator" w:id="0">
    <w:p w14:paraId="60BCFF5B" w14:textId="77777777" w:rsidR="000E00E0" w:rsidRDefault="000E00E0" w:rsidP="00A453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11A"/>
    <w:rsid w:val="00065CAC"/>
    <w:rsid w:val="000E00E0"/>
    <w:rsid w:val="000E4B6F"/>
    <w:rsid w:val="000E4D47"/>
    <w:rsid w:val="00101842"/>
    <w:rsid w:val="0013486E"/>
    <w:rsid w:val="0014143A"/>
    <w:rsid w:val="00262C82"/>
    <w:rsid w:val="00266D6A"/>
    <w:rsid w:val="002C3A1E"/>
    <w:rsid w:val="002E031C"/>
    <w:rsid w:val="00335681"/>
    <w:rsid w:val="00340D5A"/>
    <w:rsid w:val="00415416"/>
    <w:rsid w:val="004171F8"/>
    <w:rsid w:val="00447BE3"/>
    <w:rsid w:val="004544B6"/>
    <w:rsid w:val="004677CF"/>
    <w:rsid w:val="004971C8"/>
    <w:rsid w:val="004D7A99"/>
    <w:rsid w:val="00523FBC"/>
    <w:rsid w:val="0053324C"/>
    <w:rsid w:val="005A5647"/>
    <w:rsid w:val="005D2732"/>
    <w:rsid w:val="00603968"/>
    <w:rsid w:val="006260C3"/>
    <w:rsid w:val="006C45FD"/>
    <w:rsid w:val="006C6E85"/>
    <w:rsid w:val="006D2B24"/>
    <w:rsid w:val="00745919"/>
    <w:rsid w:val="007A211A"/>
    <w:rsid w:val="007A6B58"/>
    <w:rsid w:val="007D5E02"/>
    <w:rsid w:val="007E3BB9"/>
    <w:rsid w:val="00866063"/>
    <w:rsid w:val="00867E39"/>
    <w:rsid w:val="008A4451"/>
    <w:rsid w:val="008C15BF"/>
    <w:rsid w:val="008E38CF"/>
    <w:rsid w:val="00910F71"/>
    <w:rsid w:val="00961981"/>
    <w:rsid w:val="00A4537B"/>
    <w:rsid w:val="00A90A72"/>
    <w:rsid w:val="00B25655"/>
    <w:rsid w:val="00B86B12"/>
    <w:rsid w:val="00BB2F5D"/>
    <w:rsid w:val="00BC7B37"/>
    <w:rsid w:val="00BE4155"/>
    <w:rsid w:val="00C44C88"/>
    <w:rsid w:val="00D105F1"/>
    <w:rsid w:val="00D6553E"/>
    <w:rsid w:val="00D827D7"/>
    <w:rsid w:val="00DC4EF3"/>
    <w:rsid w:val="00DE4114"/>
    <w:rsid w:val="00E45F31"/>
    <w:rsid w:val="00E72E0F"/>
    <w:rsid w:val="00E75E3F"/>
    <w:rsid w:val="00EA5410"/>
    <w:rsid w:val="00EE423C"/>
    <w:rsid w:val="00F30B40"/>
    <w:rsid w:val="00F76809"/>
    <w:rsid w:val="00FB7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4F0984"/>
  <w15:chartTrackingRefBased/>
  <w15:docId w15:val="{BF33C74E-0220-1B41-90BC-79CE68B24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677C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37B"/>
    <w:pPr>
      <w:tabs>
        <w:tab w:val="center" w:pos="4680"/>
        <w:tab w:val="right" w:pos="9360"/>
      </w:tabs>
    </w:pPr>
  </w:style>
  <w:style w:type="character" w:customStyle="1" w:styleId="HeaderChar">
    <w:name w:val="Header Char"/>
    <w:basedOn w:val="DefaultParagraphFont"/>
    <w:link w:val="Header"/>
    <w:uiPriority w:val="99"/>
    <w:rsid w:val="00A4537B"/>
  </w:style>
  <w:style w:type="paragraph" w:styleId="Footer">
    <w:name w:val="footer"/>
    <w:basedOn w:val="Normal"/>
    <w:link w:val="FooterChar"/>
    <w:uiPriority w:val="99"/>
    <w:unhideWhenUsed/>
    <w:rsid w:val="00A4537B"/>
    <w:pPr>
      <w:tabs>
        <w:tab w:val="center" w:pos="4680"/>
        <w:tab w:val="right" w:pos="9360"/>
      </w:tabs>
    </w:pPr>
  </w:style>
  <w:style w:type="character" w:customStyle="1" w:styleId="FooterChar">
    <w:name w:val="Footer Char"/>
    <w:basedOn w:val="DefaultParagraphFont"/>
    <w:link w:val="Footer"/>
    <w:uiPriority w:val="99"/>
    <w:rsid w:val="00A4537B"/>
  </w:style>
  <w:style w:type="character" w:customStyle="1" w:styleId="Heading2Char">
    <w:name w:val="Heading 2 Char"/>
    <w:basedOn w:val="DefaultParagraphFont"/>
    <w:link w:val="Heading2"/>
    <w:uiPriority w:val="9"/>
    <w:rsid w:val="004677CF"/>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467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chart" Target="charts/chart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Users/Jennifer/Dropbox%20(Anna's%20House)/COA%20&amp;%20PQI%20Executive%20Summary/Executive%20Director%20-%20Executive%20Summary.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FISCAL YEAR OKDHS </a:t>
            </a:r>
            <a:r>
              <a:rPr lang="en-US" baseline="0"/>
              <a:t>CERTIFICATION </a:t>
            </a:r>
            <a:r>
              <a:rPr lang="en-US"/>
              <a:t>GOAL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'Q3 FINANCIAL SUMMARY'!$I$21</c:f>
              <c:strCache>
                <c:ptCount val="1"/>
                <c:pt idx="0">
                  <c:v>AHF GOAL</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'Q3 FINANCIAL SUMMARY'!$R$20:$T$20</c:f>
              <c:strCache>
                <c:ptCount val="3"/>
                <c:pt idx="0">
                  <c:v>July</c:v>
                </c:pt>
                <c:pt idx="1">
                  <c:v>August </c:v>
                </c:pt>
                <c:pt idx="2">
                  <c:v>September</c:v>
                </c:pt>
              </c:strCache>
            </c:strRef>
          </c:cat>
          <c:val>
            <c:numRef>
              <c:f>'Q3 FINANCIAL SUMMARY'!$R$21:$T$21</c:f>
              <c:numCache>
                <c:formatCode>General</c:formatCode>
                <c:ptCount val="3"/>
                <c:pt idx="0">
                  <c:v>24</c:v>
                </c:pt>
                <c:pt idx="1">
                  <c:v>24</c:v>
                </c:pt>
                <c:pt idx="2">
                  <c:v>24</c:v>
                </c:pt>
              </c:numCache>
            </c:numRef>
          </c:val>
          <c:smooth val="0"/>
          <c:extLst>
            <c:ext xmlns:c16="http://schemas.microsoft.com/office/drawing/2014/chart" uri="{C3380CC4-5D6E-409C-BE32-E72D297353CC}">
              <c16:uniqueId val="{00000000-20E8-464E-B3CE-2BEAA983AB29}"/>
            </c:ext>
          </c:extLst>
        </c:ser>
        <c:ser>
          <c:idx val="1"/>
          <c:order val="1"/>
          <c:tx>
            <c:strRef>
              <c:f>'Q3 FINANCIAL SUMMARY'!$I$22</c:f>
              <c:strCache>
                <c:ptCount val="1"/>
                <c:pt idx="0">
                  <c:v>AHF ACTUAL</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'Q3 FINANCIAL SUMMARY'!$R$20:$T$20</c:f>
              <c:strCache>
                <c:ptCount val="3"/>
                <c:pt idx="0">
                  <c:v>July</c:v>
                </c:pt>
                <c:pt idx="1">
                  <c:v>August </c:v>
                </c:pt>
                <c:pt idx="2">
                  <c:v>September</c:v>
                </c:pt>
              </c:strCache>
            </c:strRef>
          </c:cat>
          <c:val>
            <c:numRef>
              <c:f>'Q3 FINANCIAL SUMMARY'!$R$22:$T$22</c:f>
              <c:numCache>
                <c:formatCode>General</c:formatCode>
                <c:ptCount val="3"/>
                <c:pt idx="0">
                  <c:v>0</c:v>
                </c:pt>
                <c:pt idx="1">
                  <c:v>2</c:v>
                </c:pt>
                <c:pt idx="2">
                  <c:v>3</c:v>
                </c:pt>
              </c:numCache>
            </c:numRef>
          </c:val>
          <c:smooth val="0"/>
          <c:extLst>
            <c:ext xmlns:c16="http://schemas.microsoft.com/office/drawing/2014/chart" uri="{C3380CC4-5D6E-409C-BE32-E72D297353CC}">
              <c16:uniqueId val="{00000001-20E8-464E-B3CE-2BEAA983AB29}"/>
            </c:ext>
          </c:extLst>
        </c:ser>
        <c:dLbls>
          <c:showLegendKey val="0"/>
          <c:showVal val="1"/>
          <c:showCatName val="0"/>
          <c:showSerName val="0"/>
          <c:showPercent val="0"/>
          <c:showBubbleSize val="0"/>
        </c:dLbls>
        <c:smooth val="0"/>
        <c:axId val="2128447855"/>
        <c:axId val="492084192"/>
      </c:lineChart>
      <c:catAx>
        <c:axId val="21284478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2084192"/>
        <c:crosses val="autoZero"/>
        <c:auto val="1"/>
        <c:lblAlgn val="ctr"/>
        <c:lblOffset val="100"/>
        <c:noMultiLvlLbl val="0"/>
      </c:catAx>
      <c:valAx>
        <c:axId val="492084192"/>
        <c:scaling>
          <c:orientation val="minMax"/>
        </c:scaling>
        <c:delete val="1"/>
        <c:axPos val="l"/>
        <c:numFmt formatCode="General" sourceLinked="1"/>
        <c:majorTickMark val="none"/>
        <c:minorTickMark val="none"/>
        <c:tickLblPos val="nextTo"/>
        <c:crossAx val="2128447855"/>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Long CTR</dc:creator>
  <cp:keywords/>
  <dc:description/>
  <cp:lastModifiedBy>Microsoft Office User</cp:lastModifiedBy>
  <cp:revision>8</cp:revision>
  <dcterms:created xsi:type="dcterms:W3CDTF">2021-11-18T19:17:00Z</dcterms:created>
  <dcterms:modified xsi:type="dcterms:W3CDTF">2022-01-24T21:37:00Z</dcterms:modified>
</cp:coreProperties>
</file>